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C3" w:rsidRDefault="007F40C3" w:rsidP="007F40C3">
      <w:pPr>
        <w:spacing w:line="240" w:lineRule="auto"/>
        <w:jc w:val="center"/>
        <w:rPr>
          <w:noProof/>
          <w:lang w:eastAsia="en-AU"/>
        </w:rPr>
      </w:pPr>
    </w:p>
    <w:p w:rsidR="004B0321" w:rsidRDefault="007F40C3" w:rsidP="003B313B">
      <w:pPr>
        <w:spacing w:line="240" w:lineRule="auto"/>
        <w:jc w:val="center"/>
        <w:rPr>
          <w:rFonts w:ascii="Book Antiqua" w:eastAsia="Meiryo UI" w:hAnsi="Book Antiqua" w:cs="Miriam"/>
          <w:b/>
          <w:color w:val="000000"/>
          <w:spacing w:val="12"/>
          <w:sz w:val="40"/>
          <w:szCs w:val="32"/>
        </w:rPr>
      </w:pPr>
      <w:r>
        <w:rPr>
          <w:noProof/>
          <w:lang w:eastAsia="en-AU"/>
        </w:rPr>
        <w:drawing>
          <wp:inline distT="0" distB="0" distL="0" distR="0" wp14:anchorId="384DF3C3" wp14:editId="218D4706">
            <wp:extent cx="1654628" cy="67334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66271" cy="678080"/>
                    </a:xfrm>
                    <a:prstGeom prst="rect">
                      <a:avLst/>
                    </a:prstGeom>
                  </pic:spPr>
                </pic:pic>
              </a:graphicData>
            </a:graphic>
          </wp:inline>
        </w:drawing>
      </w:r>
      <w:r>
        <w:rPr>
          <w:noProof/>
          <w:lang w:eastAsia="en-AU"/>
        </w:rPr>
        <w:br/>
      </w:r>
      <w:r>
        <w:rPr>
          <w:noProof/>
          <w:lang w:eastAsia="en-AU"/>
        </w:rPr>
        <w:br/>
      </w:r>
      <w:r w:rsidRPr="003B313B">
        <w:rPr>
          <w:rFonts w:ascii="Book Antiqua" w:eastAsia="Meiryo UI" w:hAnsi="Book Antiqua" w:cs="Miriam"/>
          <w:b/>
          <w:color w:val="000000"/>
          <w:spacing w:val="12"/>
          <w:sz w:val="40"/>
          <w:szCs w:val="32"/>
        </w:rPr>
        <w:t>Researching</w:t>
      </w:r>
      <w:r w:rsidR="00A95B76" w:rsidRPr="003B313B">
        <w:rPr>
          <w:rFonts w:ascii="Book Antiqua" w:eastAsia="Meiryo UI" w:hAnsi="Book Antiqua" w:cs="Miriam"/>
          <w:b/>
          <w:color w:val="000000"/>
          <w:spacing w:val="12"/>
          <w:sz w:val="40"/>
          <w:szCs w:val="32"/>
        </w:rPr>
        <w:t xml:space="preserve"> End </w:t>
      </w:r>
      <w:proofErr w:type="gramStart"/>
      <w:r w:rsidR="00A95B76" w:rsidRPr="003B313B">
        <w:rPr>
          <w:rFonts w:ascii="Book Antiqua" w:eastAsia="Meiryo UI" w:hAnsi="Book Antiqua" w:cs="Miriam"/>
          <w:b/>
          <w:color w:val="000000"/>
          <w:spacing w:val="12"/>
          <w:sz w:val="40"/>
          <w:szCs w:val="32"/>
        </w:rPr>
        <w:t>Of</w:t>
      </w:r>
      <w:proofErr w:type="gramEnd"/>
      <w:r w:rsidR="00A95B76" w:rsidRPr="003B313B">
        <w:rPr>
          <w:rFonts w:ascii="Book Antiqua" w:eastAsia="Meiryo UI" w:hAnsi="Book Antiqua" w:cs="Miriam"/>
          <w:b/>
          <w:color w:val="000000"/>
          <w:spacing w:val="12"/>
          <w:sz w:val="40"/>
          <w:szCs w:val="32"/>
        </w:rPr>
        <w:t xml:space="preserve"> Life Doulas</w:t>
      </w:r>
      <w:r w:rsidR="003B313B" w:rsidRPr="003B313B">
        <w:rPr>
          <w:rFonts w:ascii="Book Antiqua" w:eastAsia="Meiryo UI" w:hAnsi="Book Antiqua" w:cs="Miriam"/>
          <w:b/>
          <w:color w:val="000000"/>
          <w:spacing w:val="12"/>
          <w:sz w:val="40"/>
          <w:szCs w:val="32"/>
        </w:rPr>
        <w:t>,</w:t>
      </w:r>
      <w:r w:rsidR="00A95B76" w:rsidRPr="003B313B">
        <w:rPr>
          <w:rFonts w:ascii="Book Antiqua" w:eastAsia="Meiryo UI" w:hAnsi="Book Antiqua" w:cs="Miriam"/>
          <w:b/>
          <w:color w:val="000000"/>
          <w:spacing w:val="12"/>
          <w:sz w:val="40"/>
          <w:szCs w:val="32"/>
        </w:rPr>
        <w:t xml:space="preserve"> Continuity of Care</w:t>
      </w:r>
      <w:r w:rsidR="003B313B" w:rsidRPr="003B313B">
        <w:rPr>
          <w:rFonts w:ascii="Book Antiqua" w:eastAsia="Meiryo UI" w:hAnsi="Book Antiqua" w:cs="Miriam"/>
          <w:b/>
          <w:color w:val="000000"/>
          <w:spacing w:val="12"/>
          <w:sz w:val="40"/>
          <w:szCs w:val="32"/>
        </w:rPr>
        <w:t>,</w:t>
      </w:r>
      <w:r w:rsidRPr="003B313B">
        <w:rPr>
          <w:rFonts w:ascii="Book Antiqua" w:eastAsia="Meiryo UI" w:hAnsi="Book Antiqua" w:cs="Miriam"/>
          <w:b/>
          <w:color w:val="000000"/>
          <w:spacing w:val="12"/>
          <w:sz w:val="32"/>
          <w:szCs w:val="18"/>
        </w:rPr>
        <w:t xml:space="preserve"> </w:t>
      </w:r>
      <w:r w:rsidR="003B313B" w:rsidRPr="003B313B">
        <w:rPr>
          <w:rFonts w:ascii="Book Antiqua" w:eastAsia="Meiryo UI" w:hAnsi="Book Antiqua" w:cs="Miriam"/>
          <w:b/>
          <w:color w:val="000000"/>
          <w:spacing w:val="12"/>
          <w:sz w:val="40"/>
          <w:szCs w:val="32"/>
        </w:rPr>
        <w:t>and Compassionate Community Formation</w:t>
      </w:r>
    </w:p>
    <w:p w:rsidR="004B0321" w:rsidRPr="004B0321" w:rsidRDefault="004B0321" w:rsidP="004B0321">
      <w:pPr>
        <w:spacing w:after="0" w:line="240" w:lineRule="auto"/>
        <w:jc w:val="center"/>
        <w:rPr>
          <w:rFonts w:ascii="Book Antiqua" w:eastAsia="Meiryo UI" w:hAnsi="Book Antiqua" w:cs="Miriam"/>
          <w:b/>
          <w:color w:val="000000"/>
          <w:spacing w:val="12"/>
          <w:sz w:val="32"/>
          <w:szCs w:val="32"/>
        </w:rPr>
      </w:pPr>
      <w:bookmarkStart w:id="0" w:name="_GoBack"/>
      <w:r w:rsidRPr="004B0321">
        <w:rPr>
          <w:rFonts w:ascii="Book Antiqua" w:eastAsia="Meiryo UI" w:hAnsi="Book Antiqua" w:cs="Miriam"/>
          <w:b/>
          <w:color w:val="000000"/>
          <w:spacing w:val="12"/>
          <w:sz w:val="32"/>
          <w:szCs w:val="32"/>
        </w:rPr>
        <w:t>REDI Reference: H12662</w:t>
      </w:r>
    </w:p>
    <w:p w:rsidR="008A1D47" w:rsidRPr="004B0321" w:rsidRDefault="004B0321" w:rsidP="004B0321">
      <w:pPr>
        <w:spacing w:after="0" w:line="240" w:lineRule="auto"/>
        <w:jc w:val="center"/>
        <w:rPr>
          <w:rFonts w:ascii="Book Antiqua" w:eastAsia="Meiryo UI" w:hAnsi="Book Antiqua" w:cs="Miriam"/>
          <w:b/>
          <w:color w:val="000000"/>
          <w:spacing w:val="12"/>
          <w:sz w:val="32"/>
          <w:szCs w:val="32"/>
        </w:rPr>
      </w:pPr>
      <w:r w:rsidRPr="004B0321">
        <w:rPr>
          <w:rFonts w:ascii="Book Antiqua" w:eastAsia="Meiryo UI" w:hAnsi="Book Antiqua" w:cs="Miriam"/>
          <w:b/>
          <w:color w:val="000000"/>
          <w:spacing w:val="12"/>
          <w:sz w:val="32"/>
          <w:szCs w:val="32"/>
        </w:rPr>
        <w:t>Risk Rating: Low 2 - HREC</w:t>
      </w:r>
      <w:r w:rsidR="007F40C3" w:rsidRPr="004B0321">
        <w:rPr>
          <w:rFonts w:ascii="Book Antiqua" w:eastAsia="Meiryo UI" w:hAnsi="Book Antiqua" w:cs="Miriam"/>
          <w:color w:val="000000"/>
          <w:spacing w:val="12"/>
          <w:sz w:val="32"/>
          <w:szCs w:val="32"/>
          <w:lang w:eastAsia="en-AU"/>
        </w:rPr>
        <w:br/>
      </w:r>
    </w:p>
    <w:bookmarkEnd w:id="0"/>
    <w:p w:rsidR="008A1D47" w:rsidRDefault="007F40C3" w:rsidP="003B313B">
      <w:pPr>
        <w:spacing w:line="240" w:lineRule="auto"/>
        <w:jc w:val="center"/>
        <w:rPr>
          <w:rFonts w:ascii="Book Antiqua" w:eastAsia="Meiryo UI" w:hAnsi="Book Antiqua" w:cs="Miriam"/>
          <w:color w:val="000000"/>
          <w:spacing w:val="12"/>
          <w:sz w:val="24"/>
          <w:szCs w:val="18"/>
          <w:lang w:eastAsia="en-AU"/>
        </w:rPr>
      </w:pPr>
      <w:r w:rsidRPr="003B313B">
        <w:rPr>
          <w:rFonts w:ascii="Book Antiqua" w:eastAsia="Meiryo UI" w:hAnsi="Book Antiqua" w:cs="Miriam"/>
          <w:b/>
          <w:color w:val="000000"/>
          <w:spacing w:val="12"/>
          <w:sz w:val="24"/>
          <w:szCs w:val="18"/>
        </w:rPr>
        <w:br/>
      </w:r>
      <w:r w:rsidR="00A95B76" w:rsidRPr="003B313B">
        <w:rPr>
          <w:rFonts w:ascii="Book Antiqua" w:eastAsia="Meiryo UI" w:hAnsi="Book Antiqua" w:cs="Miriam"/>
          <w:b/>
          <w:color w:val="000000"/>
          <w:spacing w:val="12"/>
          <w:sz w:val="28"/>
          <w:szCs w:val="20"/>
          <w:lang w:eastAsia="en-AU"/>
        </w:rPr>
        <w:t xml:space="preserve">Continuity of care as a spectrum of support offered by End </w:t>
      </w:r>
      <w:proofErr w:type="gramStart"/>
      <w:r w:rsidR="00A95B76" w:rsidRPr="003B313B">
        <w:rPr>
          <w:rFonts w:ascii="Book Antiqua" w:eastAsia="Meiryo UI" w:hAnsi="Book Antiqua" w:cs="Miriam"/>
          <w:b/>
          <w:color w:val="000000"/>
          <w:spacing w:val="12"/>
          <w:sz w:val="28"/>
          <w:szCs w:val="20"/>
          <w:lang w:eastAsia="en-AU"/>
        </w:rPr>
        <w:t>Of</w:t>
      </w:r>
      <w:proofErr w:type="gramEnd"/>
      <w:r w:rsidR="00A95B76" w:rsidRPr="003B313B">
        <w:rPr>
          <w:rFonts w:ascii="Book Antiqua" w:eastAsia="Meiryo UI" w:hAnsi="Book Antiqua" w:cs="Miriam"/>
          <w:b/>
          <w:color w:val="000000"/>
          <w:spacing w:val="12"/>
          <w:sz w:val="28"/>
          <w:szCs w:val="20"/>
          <w:lang w:eastAsia="en-AU"/>
        </w:rPr>
        <w:t xml:space="preserve"> Life Doulas to their clients and networks of care around clients, and the role death literacy plays in establishing compassionate communities around clients of End Of Life Doulas is the focus of this international research project</w:t>
      </w:r>
      <w:r w:rsidRPr="003B313B">
        <w:rPr>
          <w:rFonts w:ascii="Book Antiqua" w:eastAsia="Meiryo UI" w:hAnsi="Book Antiqua" w:cs="Miriam"/>
          <w:b/>
          <w:color w:val="000000"/>
          <w:spacing w:val="12"/>
          <w:sz w:val="28"/>
          <w:szCs w:val="20"/>
          <w:lang w:eastAsia="en-AU"/>
        </w:rPr>
        <w:t>.</w:t>
      </w:r>
      <w:r w:rsidRPr="003B313B">
        <w:rPr>
          <w:rFonts w:ascii="Book Antiqua" w:eastAsia="Meiryo UI" w:hAnsi="Book Antiqua" w:cs="Miriam"/>
          <w:b/>
          <w:color w:val="000000"/>
          <w:spacing w:val="12"/>
          <w:sz w:val="28"/>
          <w:szCs w:val="18"/>
          <w:lang w:eastAsia="en-AU"/>
        </w:rPr>
        <w:br/>
      </w:r>
    </w:p>
    <w:p w:rsidR="00A95B76" w:rsidRPr="003B313B" w:rsidRDefault="007F40C3" w:rsidP="003B313B">
      <w:pPr>
        <w:spacing w:line="240" w:lineRule="auto"/>
        <w:jc w:val="center"/>
        <w:rPr>
          <w:rFonts w:ascii="Book Antiqua" w:eastAsia="Meiryo UI" w:hAnsi="Book Antiqua" w:cs="Miriam"/>
          <w:color w:val="000000"/>
          <w:spacing w:val="12"/>
          <w:sz w:val="28"/>
          <w:szCs w:val="20"/>
          <w:lang w:eastAsia="en-AU"/>
        </w:rPr>
      </w:pPr>
      <w:r w:rsidRPr="003B313B">
        <w:rPr>
          <w:rFonts w:ascii="Book Antiqua" w:eastAsia="Meiryo UI" w:hAnsi="Book Antiqua" w:cs="Miriam"/>
          <w:color w:val="000000"/>
          <w:spacing w:val="12"/>
          <w:sz w:val="24"/>
          <w:szCs w:val="18"/>
          <w:lang w:eastAsia="en-AU"/>
        </w:rPr>
        <w:br/>
      </w:r>
      <w:r w:rsidR="00A95B76" w:rsidRPr="003B313B">
        <w:rPr>
          <w:rFonts w:ascii="Book Antiqua" w:eastAsia="Meiryo UI" w:hAnsi="Book Antiqua" w:cs="Miriam"/>
          <w:color w:val="000000"/>
          <w:spacing w:val="12"/>
          <w:sz w:val="28"/>
          <w:szCs w:val="20"/>
          <w:lang w:eastAsia="en-AU"/>
        </w:rPr>
        <w:t>End Of Life Doulas are a part of the growing End Of Life workers professions, and the strategies employed by End Of Life Doulas to promote both death literacy and form compassionate communities for their clients is an under-researched area</w:t>
      </w:r>
      <w:r w:rsidR="003B313B" w:rsidRPr="003B313B">
        <w:rPr>
          <w:rFonts w:ascii="Book Antiqua" w:eastAsia="Meiryo UI" w:hAnsi="Book Antiqua" w:cs="Miriam"/>
          <w:color w:val="000000"/>
          <w:spacing w:val="12"/>
          <w:sz w:val="28"/>
          <w:szCs w:val="20"/>
          <w:lang w:eastAsia="en-AU"/>
        </w:rPr>
        <w:t>.</w:t>
      </w:r>
      <w:r w:rsidR="003B313B">
        <w:rPr>
          <w:rFonts w:ascii="Book Antiqua" w:eastAsia="Meiryo UI" w:hAnsi="Book Antiqua" w:cs="Miriam"/>
          <w:color w:val="000000"/>
          <w:spacing w:val="12"/>
          <w:sz w:val="28"/>
          <w:szCs w:val="20"/>
          <w:lang w:eastAsia="en-AU"/>
        </w:rPr>
        <w:t xml:space="preserve"> By interviewing End </w:t>
      </w:r>
      <w:proofErr w:type="gramStart"/>
      <w:r w:rsidR="003B313B">
        <w:rPr>
          <w:rFonts w:ascii="Book Antiqua" w:eastAsia="Meiryo UI" w:hAnsi="Book Antiqua" w:cs="Miriam"/>
          <w:color w:val="000000"/>
          <w:spacing w:val="12"/>
          <w:sz w:val="28"/>
          <w:szCs w:val="20"/>
          <w:lang w:eastAsia="en-AU"/>
        </w:rPr>
        <w:t>Of</w:t>
      </w:r>
      <w:proofErr w:type="gramEnd"/>
      <w:r w:rsidR="003B313B">
        <w:rPr>
          <w:rFonts w:ascii="Book Antiqua" w:eastAsia="Meiryo UI" w:hAnsi="Book Antiqua" w:cs="Miriam"/>
          <w:color w:val="000000"/>
          <w:spacing w:val="12"/>
          <w:sz w:val="28"/>
          <w:szCs w:val="20"/>
          <w:lang w:eastAsia="en-AU"/>
        </w:rPr>
        <w:t xml:space="preserve"> Life Doulas from Australia, Canada, the UK, and the USA and comparing the stories, strategies and perspectives of End Of Life Doulas within and between each country, a clearer picture of how End Of Life Doulas in different contexts and health systems work to support their clients.</w:t>
      </w:r>
    </w:p>
    <w:p w:rsidR="008A1D47" w:rsidRDefault="008A1D47" w:rsidP="007F40C3">
      <w:pPr>
        <w:spacing w:line="240" w:lineRule="auto"/>
        <w:rPr>
          <w:rFonts w:ascii="Georgia" w:eastAsia="Meiryo UI" w:hAnsi="Georgia" w:cs="Miriam"/>
          <w:b/>
          <w:color w:val="000000" w:themeColor="text1"/>
          <w:sz w:val="20"/>
          <w:szCs w:val="20"/>
        </w:rPr>
      </w:pPr>
    </w:p>
    <w:p w:rsidR="007F40C3" w:rsidRPr="00A95B76" w:rsidRDefault="007F40C3" w:rsidP="007F40C3">
      <w:pPr>
        <w:spacing w:line="240" w:lineRule="auto"/>
        <w:rPr>
          <w:rFonts w:ascii="Georgia" w:hAnsi="Georgia"/>
          <w:noProof/>
          <w:sz w:val="28"/>
          <w:szCs w:val="20"/>
          <w:lang w:eastAsia="en-AU"/>
        </w:rPr>
      </w:pPr>
      <w:r w:rsidRPr="00A95B76">
        <w:rPr>
          <w:rFonts w:ascii="Georgia" w:eastAsia="Meiryo UI" w:hAnsi="Georgia" w:cs="Miriam"/>
          <w:b/>
          <w:color w:val="000000" w:themeColor="text1"/>
          <w:sz w:val="20"/>
          <w:szCs w:val="20"/>
        </w:rPr>
        <w:br/>
      </w:r>
      <w:r w:rsidRPr="00A95B76">
        <w:rPr>
          <w:rFonts w:ascii="Georgia" w:eastAsia="Meiryo UI" w:hAnsi="Georgia" w:cs="Miriam"/>
          <w:b/>
          <w:color w:val="000000" w:themeColor="text1"/>
          <w:sz w:val="28"/>
          <w:szCs w:val="20"/>
        </w:rPr>
        <w:t>What’s involved?</w:t>
      </w:r>
    </w:p>
    <w:p w:rsidR="00A553B3" w:rsidRPr="00A553B3" w:rsidRDefault="003B313B" w:rsidP="00A553B3">
      <w:pPr>
        <w:pStyle w:val="ListParagraph"/>
        <w:numPr>
          <w:ilvl w:val="0"/>
          <w:numId w:val="1"/>
        </w:numPr>
        <w:spacing w:before="100" w:beforeAutospacing="1" w:after="120"/>
        <w:ind w:left="360"/>
        <w:rPr>
          <w:rFonts w:ascii="Georgia" w:eastAsia="Meiryo UI" w:hAnsi="Georgia" w:cs="Miriam"/>
          <w:color w:val="000000"/>
          <w:spacing w:val="12"/>
          <w:sz w:val="28"/>
          <w:szCs w:val="20"/>
          <w:lang w:eastAsia="en-AU"/>
        </w:rPr>
      </w:pPr>
      <w:r w:rsidRPr="003B313B">
        <w:rPr>
          <w:rFonts w:ascii="Georgia" w:eastAsia="Meiryo UI" w:hAnsi="Georgia" w:cs="Miriam"/>
          <w:color w:val="000000" w:themeColor="text1"/>
          <w:sz w:val="28"/>
          <w:szCs w:val="20"/>
        </w:rPr>
        <w:t>A</w:t>
      </w:r>
      <w:r>
        <w:rPr>
          <w:rFonts w:ascii="Georgia" w:eastAsia="Meiryo UI" w:hAnsi="Georgia" w:cs="Miriam"/>
          <w:color w:val="000000" w:themeColor="text1"/>
          <w:sz w:val="28"/>
          <w:szCs w:val="20"/>
        </w:rPr>
        <w:t>n interview of maximum</w:t>
      </w:r>
      <w:r w:rsidRPr="003B313B">
        <w:rPr>
          <w:rFonts w:ascii="Georgia" w:eastAsia="Meiryo UI" w:hAnsi="Georgia" w:cs="Miriam"/>
          <w:color w:val="000000" w:themeColor="text1"/>
          <w:sz w:val="28"/>
          <w:szCs w:val="20"/>
        </w:rPr>
        <w:t xml:space="preserve"> one-hour </w:t>
      </w:r>
      <w:r>
        <w:rPr>
          <w:rFonts w:ascii="Georgia" w:eastAsia="Meiryo UI" w:hAnsi="Georgia" w:cs="Miriam"/>
          <w:color w:val="000000" w:themeColor="text1"/>
          <w:sz w:val="28"/>
          <w:szCs w:val="20"/>
        </w:rPr>
        <w:t>duration</w:t>
      </w:r>
      <w:r w:rsidRPr="003B313B">
        <w:rPr>
          <w:rFonts w:ascii="Georgia" w:eastAsia="Meiryo UI" w:hAnsi="Georgia" w:cs="Miriam"/>
          <w:color w:val="000000" w:themeColor="text1"/>
          <w:sz w:val="28"/>
          <w:szCs w:val="20"/>
        </w:rPr>
        <w:t xml:space="preserve"> with the chief researcher Dr Annetta Mallon – participants outside the greater Sydney/Central Coast/Hunter regions of Australia may choose either phone, video, or face-to-face interview. Participants outside the greater Sydney/Central Coast/Hunter regions of Australia may choose either phone or video interview. </w:t>
      </w:r>
      <w:r>
        <w:rPr>
          <w:rFonts w:ascii="Georgia" w:eastAsia="Meiryo UI" w:hAnsi="Georgia" w:cs="Miriam"/>
          <w:color w:val="000000" w:themeColor="text1"/>
          <w:sz w:val="28"/>
          <w:szCs w:val="20"/>
        </w:rPr>
        <w:t>All interviews will be audio recorded.</w:t>
      </w:r>
      <w:r w:rsidR="003853A4">
        <w:rPr>
          <w:rFonts w:ascii="Georgia" w:eastAsia="Meiryo UI" w:hAnsi="Georgia" w:cs="Miriam"/>
          <w:color w:val="000000" w:themeColor="text1"/>
          <w:sz w:val="28"/>
          <w:szCs w:val="20"/>
        </w:rPr>
        <w:t xml:space="preserve"> Par</w:t>
      </w:r>
      <w:r w:rsidR="00461BCA">
        <w:rPr>
          <w:rFonts w:ascii="Georgia" w:eastAsia="Meiryo UI" w:hAnsi="Georgia" w:cs="Miriam"/>
          <w:color w:val="000000" w:themeColor="text1"/>
          <w:sz w:val="28"/>
          <w:szCs w:val="20"/>
        </w:rPr>
        <w:t xml:space="preserve">ticipants are required to either select a pseudonym for themselves or to </w:t>
      </w:r>
      <w:r w:rsidR="00A553B3">
        <w:rPr>
          <w:rFonts w:ascii="Georgia" w:eastAsia="Meiryo UI" w:hAnsi="Georgia" w:cs="Miriam"/>
          <w:color w:val="000000" w:themeColor="text1"/>
          <w:sz w:val="28"/>
          <w:szCs w:val="20"/>
        </w:rPr>
        <w:t>elect to have Annetta select a pseudonym for them.</w:t>
      </w:r>
    </w:p>
    <w:p w:rsidR="00A553B3" w:rsidRPr="00A553B3" w:rsidRDefault="00A553B3" w:rsidP="00A553B3">
      <w:pPr>
        <w:pStyle w:val="ListParagraph"/>
        <w:spacing w:before="100" w:beforeAutospacing="1" w:after="120"/>
        <w:ind w:left="360"/>
        <w:rPr>
          <w:rFonts w:ascii="Georgia" w:eastAsia="Meiryo UI" w:hAnsi="Georgia" w:cs="Miriam"/>
          <w:color w:val="000000"/>
          <w:spacing w:val="12"/>
          <w:sz w:val="28"/>
          <w:szCs w:val="20"/>
          <w:lang w:eastAsia="en-AU"/>
        </w:rPr>
      </w:pPr>
    </w:p>
    <w:p w:rsidR="00A553B3" w:rsidRPr="00A553B3" w:rsidRDefault="00A553B3" w:rsidP="00A553B3">
      <w:pPr>
        <w:pStyle w:val="ListParagraph"/>
        <w:numPr>
          <w:ilvl w:val="0"/>
          <w:numId w:val="1"/>
        </w:numPr>
        <w:spacing w:before="100" w:beforeAutospacing="1" w:after="0"/>
        <w:ind w:left="360"/>
        <w:rPr>
          <w:rFonts w:ascii="Georgia" w:eastAsia="Meiryo UI" w:hAnsi="Georgia" w:cs="Miriam"/>
          <w:color w:val="000000"/>
          <w:spacing w:val="12"/>
          <w:sz w:val="28"/>
          <w:szCs w:val="20"/>
          <w:lang w:eastAsia="en-AU"/>
        </w:rPr>
      </w:pPr>
      <w:r w:rsidRPr="00A553B3">
        <w:rPr>
          <w:rFonts w:ascii="Georgia" w:eastAsia="Meiryo UI" w:hAnsi="Georgia" w:cs="Miriam"/>
          <w:color w:val="000000"/>
          <w:spacing w:val="12"/>
          <w:sz w:val="28"/>
          <w:szCs w:val="20"/>
          <w:lang w:eastAsia="en-AU"/>
        </w:rPr>
        <w:t>The interviews will be transcribed and the transcripts returned to the participant. At this point participants may edit out or alter any content that may identify them, or that they do not feel comfortable including. The revised and approved transcript will be returned to the chief researcher by the participant and all research will now consider only this authorised, approved transcript for data purposes.</w:t>
      </w:r>
    </w:p>
    <w:p w:rsidR="00A553B3" w:rsidRPr="00A553B3" w:rsidRDefault="00A553B3" w:rsidP="00A553B3">
      <w:pPr>
        <w:pStyle w:val="ListParagraph"/>
        <w:spacing w:before="100" w:beforeAutospacing="1" w:after="120"/>
        <w:ind w:left="360"/>
        <w:rPr>
          <w:rFonts w:ascii="Georgia" w:eastAsia="Meiryo UI" w:hAnsi="Georgia" w:cs="Miriam"/>
          <w:color w:val="000000"/>
          <w:spacing w:val="12"/>
          <w:sz w:val="28"/>
          <w:szCs w:val="20"/>
          <w:lang w:eastAsia="en-AU"/>
        </w:rPr>
      </w:pPr>
    </w:p>
    <w:p w:rsidR="008A1D47" w:rsidRPr="00A553B3" w:rsidRDefault="00A553B3" w:rsidP="00A553B3">
      <w:pPr>
        <w:pStyle w:val="ListParagraph"/>
        <w:numPr>
          <w:ilvl w:val="0"/>
          <w:numId w:val="1"/>
        </w:numPr>
        <w:spacing w:before="100" w:beforeAutospacing="1" w:after="120"/>
        <w:ind w:left="360"/>
        <w:rPr>
          <w:rFonts w:ascii="Georgia" w:eastAsia="Meiryo UI" w:hAnsi="Georgia" w:cs="Miriam"/>
          <w:color w:val="000000"/>
          <w:spacing w:val="12"/>
          <w:sz w:val="28"/>
          <w:szCs w:val="20"/>
          <w:lang w:eastAsia="en-AU"/>
        </w:rPr>
      </w:pPr>
      <w:r>
        <w:rPr>
          <w:rFonts w:ascii="Georgia" w:eastAsia="Meiryo UI" w:hAnsi="Georgia" w:cs="Miriam"/>
          <w:color w:val="000000" w:themeColor="text1"/>
          <w:sz w:val="28"/>
          <w:szCs w:val="20"/>
        </w:rPr>
        <w:t>All participants must confirm in writing and verbally at the start of the recorded interview that they have arranged for a post-interview debriefing session with either a colleague or peer to process any discomfort the interview questions may have caused. Although the research is classified as ‘low risk’ the researchers consider this step essential in terms of providing support for all participants</w:t>
      </w:r>
    </w:p>
    <w:p w:rsidR="008A1D47" w:rsidRDefault="008A1D47" w:rsidP="007F40C3">
      <w:pPr>
        <w:spacing w:after="240"/>
        <w:rPr>
          <w:rFonts w:ascii="Georgia" w:eastAsia="Meiryo UI" w:hAnsi="Georgia" w:cs="Miriam"/>
          <w:b/>
          <w:color w:val="000000" w:themeColor="text1"/>
          <w:sz w:val="32"/>
          <w:szCs w:val="20"/>
        </w:rPr>
      </w:pPr>
    </w:p>
    <w:p w:rsidR="007F40C3" w:rsidRPr="00A95B76" w:rsidRDefault="007F40C3" w:rsidP="007F40C3">
      <w:pPr>
        <w:spacing w:after="240"/>
        <w:rPr>
          <w:rFonts w:ascii="Georgia" w:eastAsia="Meiryo UI" w:hAnsi="Georgia" w:cs="Miriam"/>
          <w:b/>
          <w:color w:val="000000" w:themeColor="text1"/>
          <w:sz w:val="28"/>
          <w:szCs w:val="18"/>
        </w:rPr>
      </w:pPr>
      <w:r w:rsidRPr="00A95B76">
        <w:rPr>
          <w:rFonts w:ascii="Georgia" w:eastAsia="Meiryo UI" w:hAnsi="Georgia" w:cs="Miriam"/>
          <w:b/>
          <w:color w:val="000000" w:themeColor="text1"/>
          <w:sz w:val="32"/>
          <w:szCs w:val="20"/>
        </w:rPr>
        <w:br/>
      </w:r>
      <w:r w:rsidRPr="00A95B76">
        <w:rPr>
          <w:rFonts w:ascii="Georgia" w:eastAsia="Meiryo UI" w:hAnsi="Georgia" w:cs="Miriam"/>
          <w:b/>
          <w:color w:val="000000" w:themeColor="text1"/>
          <w:sz w:val="28"/>
          <w:szCs w:val="18"/>
        </w:rPr>
        <w:t xml:space="preserve">If you are interested in more information about participating in this research, please contact: </w:t>
      </w:r>
    </w:p>
    <w:p w:rsidR="007F40C3" w:rsidRPr="00A95B76" w:rsidRDefault="00A95B76" w:rsidP="007F40C3">
      <w:pPr>
        <w:spacing w:after="240"/>
        <w:rPr>
          <w:rFonts w:ascii="Georgia" w:eastAsia="Meiryo UI" w:hAnsi="Georgia" w:cs="Miriam"/>
          <w:color w:val="000000" w:themeColor="text1"/>
          <w:sz w:val="28"/>
          <w:szCs w:val="18"/>
        </w:rPr>
      </w:pPr>
      <w:r w:rsidRPr="00A95B76">
        <w:rPr>
          <w:rFonts w:ascii="Georgia" w:eastAsia="Meiryo UI" w:hAnsi="Georgia" w:cs="Miriam"/>
          <w:color w:val="000000" w:themeColor="text1"/>
          <w:sz w:val="28"/>
          <w:szCs w:val="18"/>
        </w:rPr>
        <w:t xml:space="preserve">Dr Annetta Mallon </w:t>
      </w:r>
      <w:hyperlink r:id="rId7" w:history="1">
        <w:r w:rsidRPr="00A95B76">
          <w:rPr>
            <w:rStyle w:val="Hyperlink"/>
            <w:rFonts w:ascii="Georgia" w:eastAsia="Meiryo UI" w:hAnsi="Georgia" w:cs="Miriam"/>
            <w:sz w:val="28"/>
            <w:szCs w:val="18"/>
          </w:rPr>
          <w:t>A.Mallon@westernsydney.edu.au</w:t>
        </w:r>
      </w:hyperlink>
      <w:r w:rsidR="007F40C3" w:rsidRPr="00A95B76">
        <w:rPr>
          <w:rFonts w:ascii="Georgia" w:eastAsia="Meiryo UI" w:hAnsi="Georgia" w:cs="Miriam"/>
          <w:color w:val="000000" w:themeColor="text1"/>
          <w:sz w:val="28"/>
          <w:szCs w:val="18"/>
        </w:rPr>
        <w:br/>
        <w:t xml:space="preserve">Professor Debbie Horsfall </w:t>
      </w:r>
      <w:hyperlink r:id="rId8" w:history="1">
        <w:r w:rsidRPr="00A95B76">
          <w:rPr>
            <w:rStyle w:val="Hyperlink"/>
            <w:rFonts w:ascii="Georgia" w:eastAsia="Meiryo UI" w:hAnsi="Georgia" w:cs="Miriam"/>
            <w:sz w:val="28"/>
            <w:szCs w:val="18"/>
          </w:rPr>
          <w:t>d.horsfall@westernsydney.edu.au</w:t>
        </w:r>
      </w:hyperlink>
      <w:r w:rsidRPr="00A95B76">
        <w:rPr>
          <w:rFonts w:ascii="Georgia" w:eastAsia="Meiryo UI" w:hAnsi="Georgia" w:cs="Miriam"/>
          <w:color w:val="000000" w:themeColor="text1"/>
          <w:sz w:val="28"/>
          <w:szCs w:val="18"/>
        </w:rPr>
        <w:t xml:space="preserve"> </w:t>
      </w:r>
    </w:p>
    <w:p w:rsidR="008A1D47" w:rsidRDefault="008A1D47" w:rsidP="007F40C3">
      <w:pPr>
        <w:pStyle w:val="ListParagraph"/>
        <w:ind w:left="0"/>
        <w:jc w:val="center"/>
        <w:rPr>
          <w:rFonts w:ascii="Meiryo UI" w:eastAsia="Meiryo UI" w:hAnsi="Meiryo UI" w:cs="Miriam"/>
          <w:b/>
          <w:color w:val="000000" w:themeColor="text1"/>
          <w:sz w:val="24"/>
          <w:szCs w:val="20"/>
        </w:rPr>
      </w:pPr>
    </w:p>
    <w:p w:rsidR="008A1D47" w:rsidRDefault="008A1D47" w:rsidP="007F40C3">
      <w:pPr>
        <w:pStyle w:val="ListParagraph"/>
        <w:ind w:left="0"/>
        <w:jc w:val="center"/>
        <w:rPr>
          <w:rFonts w:ascii="Meiryo UI" w:eastAsia="Meiryo UI" w:hAnsi="Meiryo UI" w:cs="Miriam"/>
          <w:b/>
          <w:color w:val="000000" w:themeColor="text1"/>
          <w:sz w:val="24"/>
          <w:szCs w:val="20"/>
        </w:rPr>
      </w:pPr>
    </w:p>
    <w:p w:rsidR="007F40C3" w:rsidRPr="00FE45C0" w:rsidRDefault="007F40C3" w:rsidP="007F40C3">
      <w:pPr>
        <w:pStyle w:val="ListParagraph"/>
        <w:ind w:left="0"/>
        <w:jc w:val="center"/>
        <w:rPr>
          <w:rFonts w:ascii="Meiryo UI" w:eastAsia="Meiryo UI" w:hAnsi="Meiryo UI" w:cs="Miriam"/>
          <w:color w:val="000000" w:themeColor="text1"/>
          <w:sz w:val="24"/>
          <w:szCs w:val="20"/>
        </w:rPr>
      </w:pPr>
      <w:r w:rsidRPr="00FE45C0">
        <w:rPr>
          <w:rFonts w:ascii="Meiryo UI" w:eastAsia="Meiryo UI" w:hAnsi="Meiryo UI" w:cs="Miriam"/>
          <w:b/>
          <w:color w:val="000000" w:themeColor="text1"/>
          <w:sz w:val="24"/>
          <w:szCs w:val="20"/>
        </w:rPr>
        <w:br/>
        <w:t>Our Researchers</w:t>
      </w:r>
      <w:r w:rsidRPr="00FE45C0">
        <w:rPr>
          <w:rFonts w:ascii="Arial" w:hAnsi="Arial" w:cs="Arial"/>
          <w:noProof/>
          <w:color w:val="000000" w:themeColor="text1"/>
          <w:sz w:val="24"/>
          <w:szCs w:val="20"/>
          <w:lang w:eastAsia="en-AU"/>
        </w:rPr>
        <w:t xml:space="preserve">  </w:t>
      </w:r>
    </w:p>
    <w:p w:rsidR="0077186F" w:rsidRPr="008A1D47" w:rsidRDefault="00A553B3" w:rsidP="008A1D47">
      <w:pPr>
        <w:pBdr>
          <w:bottom w:val="single" w:sz="4" w:space="1" w:color="auto"/>
        </w:pBdr>
        <w:spacing w:line="240" w:lineRule="auto"/>
        <w:jc w:val="center"/>
        <w:rPr>
          <w:rFonts w:ascii="Meiryo UI" w:eastAsia="Meiryo UI" w:hAnsi="Meiryo UI" w:cs="Miriam"/>
          <w:color w:val="000000" w:themeColor="text1"/>
          <w:sz w:val="20"/>
          <w:szCs w:val="20"/>
        </w:rPr>
      </w:pPr>
      <w:r>
        <w:rPr>
          <w:rFonts w:ascii="Arial" w:hAnsi="Arial" w:cs="Arial"/>
          <w:noProof/>
          <w:color w:val="0000FF"/>
          <w:sz w:val="27"/>
          <w:szCs w:val="27"/>
          <w:lang w:eastAsia="en-AU"/>
        </w:rPr>
        <w:drawing>
          <wp:inline distT="0" distB="0" distL="0" distR="0">
            <wp:extent cx="801645" cy="1140801"/>
            <wp:effectExtent l="76200" t="76200" r="132080" b="135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tta_evening-grin.jpg"/>
                    <pic:cNvPicPr/>
                  </pic:nvPicPr>
                  <pic:blipFill>
                    <a:blip r:embed="rId9">
                      <a:extLst>
                        <a:ext uri="{28A0092B-C50C-407E-A947-70E740481C1C}">
                          <a14:useLocalDpi xmlns:a14="http://schemas.microsoft.com/office/drawing/2010/main" val="0"/>
                        </a:ext>
                      </a:extLst>
                    </a:blip>
                    <a:stretch>
                      <a:fillRect/>
                    </a:stretch>
                  </pic:blipFill>
                  <pic:spPr>
                    <a:xfrm>
                      <a:off x="0" y="0"/>
                      <a:ext cx="803028" cy="1142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F40C3">
        <w:rPr>
          <w:rFonts w:ascii="Arial" w:hAnsi="Arial" w:cs="Arial"/>
          <w:noProof/>
          <w:color w:val="0000FF"/>
          <w:sz w:val="27"/>
          <w:szCs w:val="27"/>
          <w:lang w:eastAsia="en-AU"/>
        </w:rPr>
        <w:t xml:space="preserve">    </w:t>
      </w:r>
      <w:r w:rsidR="007F40C3" w:rsidRPr="00462CB2">
        <w:rPr>
          <w:rFonts w:ascii="Arial" w:hAnsi="Arial" w:cs="Arial"/>
          <w:noProof/>
          <w:color w:val="0000FF"/>
          <w:sz w:val="27"/>
          <w:szCs w:val="27"/>
          <w:lang w:eastAsia="en-AU"/>
        </w:rPr>
        <w:drawing>
          <wp:inline distT="0" distB="0" distL="0" distR="0" wp14:anchorId="30E2DF44" wp14:editId="0A9C035B">
            <wp:extent cx="814151" cy="1128409"/>
            <wp:effectExtent l="19050" t="19050" r="24130" b="14605"/>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rotWithShape="1">
                    <a:blip r:embed="rId10" cstate="print">
                      <a:grayscl/>
                      <a:extLst>
                        <a:ext uri="{BEBA8EAE-BF5A-486C-A8C5-ECC9F3942E4B}">
                          <a14:imgProps xmlns:a14="http://schemas.microsoft.com/office/drawing/2010/main">
                            <a14:imgLayer r:embed="rId11">
                              <a14:imgEffect>
                                <a14:colorTemperature colorTemp="5900"/>
                              </a14:imgEffect>
                              <a14:imgEffect>
                                <a14:saturation sat="175000"/>
                              </a14:imgEffect>
                            </a14:imgLayer>
                          </a14:imgProps>
                        </a:ext>
                        <a:ext uri="{28A0092B-C50C-407E-A947-70E740481C1C}">
                          <a14:useLocalDpi xmlns:a14="http://schemas.microsoft.com/office/drawing/2010/main" val="0"/>
                        </a:ext>
                      </a:extLst>
                    </a:blip>
                    <a:srcRect l="4505" r="13677" b="3476"/>
                    <a:stretch/>
                  </pic:blipFill>
                  <pic:spPr>
                    <a:xfrm>
                      <a:off x="0" y="0"/>
                      <a:ext cx="816522" cy="1131695"/>
                    </a:xfrm>
                    <a:prstGeom prst="rect">
                      <a:avLst/>
                    </a:prstGeom>
                    <a:ln w="15875">
                      <a:solidFill>
                        <a:schemeClr val="tx1"/>
                      </a:solidFill>
                    </a:ln>
                  </pic:spPr>
                </pic:pic>
              </a:graphicData>
            </a:graphic>
          </wp:inline>
        </w:drawing>
      </w:r>
      <w:r w:rsidR="007F40C3">
        <w:rPr>
          <w:rFonts w:ascii="Arial" w:hAnsi="Arial" w:cs="Arial"/>
          <w:noProof/>
          <w:color w:val="0000FF"/>
          <w:sz w:val="27"/>
          <w:szCs w:val="27"/>
          <w:lang w:eastAsia="en-AU"/>
        </w:rPr>
        <w:t xml:space="preserve">            </w:t>
      </w:r>
      <w:r w:rsidR="007F40C3">
        <w:rPr>
          <w:rFonts w:ascii="Arial" w:hAnsi="Arial" w:cs="Arial"/>
          <w:noProof/>
          <w:color w:val="0000FF"/>
          <w:sz w:val="27"/>
          <w:szCs w:val="27"/>
          <w:lang w:eastAsia="en-AU"/>
        </w:rPr>
        <w:br/>
      </w:r>
      <w:r w:rsidRPr="00A553B3">
        <w:rPr>
          <w:rFonts w:ascii="Arial" w:hAnsi="Arial" w:cs="Arial"/>
          <w:noProof/>
          <w:sz w:val="27"/>
          <w:szCs w:val="27"/>
          <w:lang w:eastAsia="en-AU"/>
        </w:rPr>
        <w:t>Dr Annetta Mallon</w:t>
      </w:r>
      <w:r>
        <w:rPr>
          <w:rFonts w:ascii="Arial" w:hAnsi="Arial" w:cs="Arial"/>
          <w:noProof/>
          <w:sz w:val="27"/>
          <w:szCs w:val="27"/>
          <w:lang w:eastAsia="en-AU"/>
        </w:rPr>
        <w:t xml:space="preserve"> |  P</w:t>
      </w:r>
      <w:r w:rsidRPr="00A553B3">
        <w:rPr>
          <w:rFonts w:ascii="Arial" w:hAnsi="Arial" w:cs="Arial"/>
          <w:noProof/>
          <w:sz w:val="27"/>
          <w:szCs w:val="27"/>
          <w:lang w:eastAsia="en-AU"/>
        </w:rPr>
        <w:t>rofessor Debbie Horsfall</w:t>
      </w:r>
      <w:r w:rsidR="007F40C3" w:rsidRPr="00A553B3">
        <w:rPr>
          <w:rFonts w:ascii="Arial" w:hAnsi="Arial" w:cs="Arial"/>
          <w:noProof/>
          <w:sz w:val="27"/>
          <w:szCs w:val="27"/>
          <w:lang w:eastAsia="en-AU"/>
        </w:rPr>
        <w:t xml:space="preserve"> </w:t>
      </w:r>
      <w:r w:rsidR="007F40C3">
        <w:rPr>
          <w:rFonts w:ascii="Arial" w:hAnsi="Arial" w:cs="Arial"/>
          <w:noProof/>
          <w:color w:val="0000FF"/>
          <w:sz w:val="27"/>
          <w:szCs w:val="27"/>
          <w:lang w:eastAsia="en-AU"/>
        </w:rPr>
        <w:t xml:space="preserve">    </w:t>
      </w:r>
      <w:r w:rsidR="007F40C3" w:rsidRPr="00D81D3C">
        <w:rPr>
          <w:rFonts w:ascii="Arial" w:hAnsi="Arial" w:cs="Arial"/>
          <w:noProof/>
          <w:color w:val="0000FF"/>
          <w:sz w:val="27"/>
          <w:szCs w:val="27"/>
          <w:lang w:eastAsia="en-AU"/>
        </w:rPr>
        <w:t xml:space="preserve"> </w:t>
      </w:r>
      <w:r w:rsidR="008A1D47">
        <w:rPr>
          <w:rFonts w:ascii="Arial" w:hAnsi="Arial" w:cs="Arial"/>
          <w:noProof/>
          <w:color w:val="0000FF"/>
          <w:sz w:val="27"/>
          <w:szCs w:val="27"/>
          <w:lang w:eastAsia="en-AU"/>
        </w:rPr>
        <w:t xml:space="preserve"> </w:t>
      </w:r>
    </w:p>
    <w:sectPr w:rsidR="0077186F" w:rsidRPr="008A1D47" w:rsidSect="00FE45C0">
      <w:pgSz w:w="16839" w:h="23814"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eiryo UI">
    <w:altName w:val="MS UI Gothic"/>
    <w:panose1 w:val="020B0604030504040204"/>
    <w:charset w:val="80"/>
    <w:family w:val="swiss"/>
    <w:pitch w:val="variable"/>
    <w:sig w:usb0="E10102FF" w:usb1="EAC7FFFF" w:usb2="00010012" w:usb3="00000000" w:csb0="0002009F" w:csb1="00000000"/>
  </w:font>
  <w:font w:name="Miriam">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F43A1"/>
    <w:multiLevelType w:val="hybridMultilevel"/>
    <w:tmpl w:val="8716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C3"/>
    <w:rsid w:val="003853A4"/>
    <w:rsid w:val="003B313B"/>
    <w:rsid w:val="00461BCA"/>
    <w:rsid w:val="004B0321"/>
    <w:rsid w:val="0077186F"/>
    <w:rsid w:val="007F40C3"/>
    <w:rsid w:val="008A1D47"/>
    <w:rsid w:val="00A553B3"/>
    <w:rsid w:val="00A95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0C3"/>
    <w:pPr>
      <w:ind w:left="720"/>
      <w:contextualSpacing/>
    </w:pPr>
  </w:style>
  <w:style w:type="paragraph" w:styleId="BalloonText">
    <w:name w:val="Balloon Text"/>
    <w:basedOn w:val="Normal"/>
    <w:link w:val="BalloonTextChar"/>
    <w:uiPriority w:val="99"/>
    <w:semiHidden/>
    <w:unhideWhenUsed/>
    <w:rsid w:val="007F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C3"/>
    <w:rPr>
      <w:rFonts w:ascii="Tahoma" w:hAnsi="Tahoma" w:cs="Tahoma"/>
      <w:sz w:val="16"/>
      <w:szCs w:val="16"/>
    </w:rPr>
  </w:style>
  <w:style w:type="character" w:styleId="Hyperlink">
    <w:name w:val="Hyperlink"/>
    <w:basedOn w:val="DefaultParagraphFont"/>
    <w:uiPriority w:val="99"/>
    <w:unhideWhenUsed/>
    <w:rsid w:val="00A95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0C3"/>
    <w:pPr>
      <w:ind w:left="720"/>
      <w:contextualSpacing/>
    </w:pPr>
  </w:style>
  <w:style w:type="paragraph" w:styleId="BalloonText">
    <w:name w:val="Balloon Text"/>
    <w:basedOn w:val="Normal"/>
    <w:link w:val="BalloonTextChar"/>
    <w:uiPriority w:val="99"/>
    <w:semiHidden/>
    <w:unhideWhenUsed/>
    <w:rsid w:val="007F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C3"/>
    <w:rPr>
      <w:rFonts w:ascii="Tahoma" w:hAnsi="Tahoma" w:cs="Tahoma"/>
      <w:sz w:val="16"/>
      <w:szCs w:val="16"/>
    </w:rPr>
  </w:style>
  <w:style w:type="character" w:styleId="Hyperlink">
    <w:name w:val="Hyperlink"/>
    <w:basedOn w:val="DefaultParagraphFont"/>
    <w:uiPriority w:val="99"/>
    <w:unhideWhenUsed/>
    <w:rsid w:val="00A95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rsfall@westernsydney.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Mallon@western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Annetta Mallon</dc:creator>
  <cp:lastModifiedBy>Annetta Mallon</cp:lastModifiedBy>
  <cp:revision>2</cp:revision>
  <dcterms:created xsi:type="dcterms:W3CDTF">2018-07-23T07:28:00Z</dcterms:created>
  <dcterms:modified xsi:type="dcterms:W3CDTF">2018-07-23T07:28:00Z</dcterms:modified>
</cp:coreProperties>
</file>